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73" w:rsidRDefault="00B54241">
      <w:pPr>
        <w:rPr>
          <w:b/>
        </w:rPr>
      </w:pPr>
      <w:r>
        <w:rPr>
          <w:b/>
        </w:rPr>
        <w:t>Urgency Committee of the Full Council</w:t>
      </w:r>
    </w:p>
    <w:p w:rsidR="00E75840" w:rsidRPr="00B54241" w:rsidRDefault="00B54241">
      <w:r w:rsidRPr="00B54241">
        <w:t>Meeting to be held on: 17 January 2012</w:t>
      </w:r>
    </w:p>
    <w:p w:rsidR="00E75840" w:rsidRPr="00E457FE" w:rsidRDefault="00E75840">
      <w:pPr>
        <w:rPr>
          <w:sz w:val="20"/>
        </w:rPr>
      </w:pPr>
    </w:p>
    <w:p w:rsidR="00E75840" w:rsidRPr="00E457FE" w:rsidRDefault="00E75840">
      <w:pPr>
        <w:pStyle w:val="Header"/>
        <w:rPr>
          <w:sz w:val="20"/>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E75840">
        <w:tc>
          <w:tcPr>
            <w:tcW w:w="3260" w:type="dxa"/>
          </w:tcPr>
          <w:p w:rsidR="00E75840" w:rsidRDefault="00E75840">
            <w:pPr>
              <w:pStyle w:val="BodyText"/>
            </w:pPr>
            <w:r>
              <w:t>Electoral Division affected:</w:t>
            </w:r>
          </w:p>
          <w:p w:rsidR="00E75840" w:rsidRPr="00105DCE" w:rsidRDefault="00105DCE">
            <w:r w:rsidRPr="00105DCE">
              <w:t>All</w:t>
            </w:r>
          </w:p>
        </w:tc>
      </w:tr>
    </w:tbl>
    <w:p w:rsidR="00E75840" w:rsidRPr="00E457FE" w:rsidRDefault="00E75840">
      <w:pPr>
        <w:ind w:left="709" w:hanging="709"/>
        <w:rPr>
          <w:b/>
          <w:sz w:val="20"/>
        </w:rPr>
      </w:pPr>
    </w:p>
    <w:p w:rsidR="00105DCE" w:rsidRPr="00DA52F8" w:rsidRDefault="00105DCE" w:rsidP="00105DCE">
      <w:pPr>
        <w:rPr>
          <w:b/>
          <w:color w:val="000000"/>
        </w:rPr>
      </w:pPr>
      <w:r w:rsidRPr="00DA52F8">
        <w:rPr>
          <w:b/>
          <w:color w:val="000000"/>
        </w:rPr>
        <w:t>Lancashire</w:t>
      </w:r>
      <w:r>
        <w:rPr>
          <w:b/>
          <w:color w:val="000000"/>
        </w:rPr>
        <w:t xml:space="preserve"> Adult Learning: </w:t>
      </w:r>
      <w:r w:rsidR="00D76BC4">
        <w:rPr>
          <w:b/>
          <w:color w:val="000000"/>
        </w:rPr>
        <w:t xml:space="preserve">Adoption of LCC </w:t>
      </w:r>
      <w:r w:rsidR="00CB55C2">
        <w:rPr>
          <w:b/>
          <w:color w:val="000000"/>
        </w:rPr>
        <w:t>Personnel Code</w:t>
      </w:r>
      <w:r w:rsidRPr="00DA52F8">
        <w:rPr>
          <w:b/>
          <w:color w:val="000000"/>
        </w:rPr>
        <w:t xml:space="preserve"> </w:t>
      </w:r>
      <w:r w:rsidR="005D6694">
        <w:rPr>
          <w:b/>
          <w:color w:val="000000"/>
        </w:rPr>
        <w:t>Policies</w:t>
      </w:r>
      <w:r w:rsidR="00BD7A39">
        <w:rPr>
          <w:b/>
          <w:color w:val="000000"/>
        </w:rPr>
        <w:t xml:space="preserve"> &amp; Procedures</w:t>
      </w:r>
      <w:r w:rsidR="00D76BC4">
        <w:rPr>
          <w:b/>
          <w:color w:val="000000"/>
        </w:rPr>
        <w:t xml:space="preserve"> for staff on academic contracts</w:t>
      </w:r>
    </w:p>
    <w:p w:rsidR="00105DCE" w:rsidRPr="00343391" w:rsidRDefault="00105DCE" w:rsidP="00105DCE">
      <w:pPr>
        <w:ind w:left="709" w:hanging="709"/>
        <w:rPr>
          <w:color w:val="000000"/>
        </w:rPr>
      </w:pPr>
      <w:r>
        <w:rPr>
          <w:color w:val="000000"/>
        </w:rPr>
        <w:t>(</w:t>
      </w:r>
      <w:r w:rsidR="00BA28AD">
        <w:rPr>
          <w:color w:val="000000"/>
        </w:rPr>
        <w:t>Appendices</w:t>
      </w:r>
      <w:r>
        <w:rPr>
          <w:color w:val="000000"/>
        </w:rPr>
        <w:t xml:space="preserve"> 'A'</w:t>
      </w:r>
      <w:r w:rsidR="00BA28AD">
        <w:rPr>
          <w:color w:val="000000"/>
        </w:rPr>
        <w:t xml:space="preserve"> to 'F' refer</w:t>
      </w:r>
      <w:r>
        <w:rPr>
          <w:color w:val="000000"/>
        </w:rPr>
        <w:t>)</w:t>
      </w:r>
    </w:p>
    <w:p w:rsidR="00105DCE" w:rsidRPr="0091669A" w:rsidRDefault="00105DCE" w:rsidP="00105DCE">
      <w:pPr>
        <w:ind w:left="709" w:hanging="709"/>
        <w:rPr>
          <w:b/>
          <w:color w:val="000000"/>
          <w:sz w:val="18"/>
        </w:rPr>
      </w:pPr>
    </w:p>
    <w:p w:rsidR="00105DCE" w:rsidRPr="00DA52F8" w:rsidRDefault="00105DCE" w:rsidP="00105DCE">
      <w:pPr>
        <w:rPr>
          <w:color w:val="000000"/>
        </w:rPr>
      </w:pPr>
      <w:r w:rsidRPr="00DA52F8">
        <w:rPr>
          <w:color w:val="000000"/>
        </w:rPr>
        <w:t>Contact for further information:</w:t>
      </w:r>
    </w:p>
    <w:p w:rsidR="00105DCE" w:rsidRDefault="00A63948" w:rsidP="00105DCE">
      <w:pPr>
        <w:rPr>
          <w:color w:val="000000"/>
        </w:rPr>
      </w:pPr>
      <w:r>
        <w:rPr>
          <w:color w:val="000000"/>
        </w:rPr>
        <w:t>Steve Hailstone (01257) 276719</w:t>
      </w:r>
      <w:r w:rsidR="00105DCE" w:rsidRPr="00DA52F8">
        <w:rPr>
          <w:color w:val="000000"/>
        </w:rPr>
        <w:t xml:space="preserve">, Adult and Community Services </w:t>
      </w:r>
      <w:r w:rsidR="00105DCE">
        <w:rPr>
          <w:color w:val="000000"/>
        </w:rPr>
        <w:t>Directorate</w:t>
      </w:r>
      <w:r>
        <w:rPr>
          <w:color w:val="000000"/>
        </w:rPr>
        <w:t>,</w:t>
      </w:r>
    </w:p>
    <w:p w:rsidR="00105DCE" w:rsidRDefault="00A603A2" w:rsidP="00105DCE">
      <w:pPr>
        <w:rPr>
          <w:color w:val="000000"/>
        </w:rPr>
      </w:pPr>
      <w:hyperlink r:id="rId7" w:history="1">
        <w:r w:rsidR="00A63948" w:rsidRPr="00245364">
          <w:rPr>
            <w:rStyle w:val="Hyperlink"/>
          </w:rPr>
          <w:t>steve.hailstone@lancashire.gov.uk</w:t>
        </w:r>
      </w:hyperlink>
      <w:r w:rsidR="00A63948">
        <w:t xml:space="preserve"> </w:t>
      </w:r>
    </w:p>
    <w:p w:rsidR="00E75840" w:rsidRPr="00E457FE" w:rsidRDefault="00E75840" w:rsidP="00E75840">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c>
          <w:tcPr>
            <w:tcW w:w="9180" w:type="dxa"/>
          </w:tcPr>
          <w:p w:rsidR="00E86973" w:rsidRDefault="00E86973">
            <w:pPr>
              <w:pStyle w:val="Heading6"/>
              <w:rPr>
                <w:rFonts w:ascii="Arial" w:hAnsi="Arial"/>
              </w:rPr>
            </w:pPr>
          </w:p>
          <w:p w:rsidR="00E75840" w:rsidRDefault="00E75840">
            <w:pPr>
              <w:pStyle w:val="Heading6"/>
              <w:rPr>
                <w:rFonts w:ascii="Arial" w:hAnsi="Arial"/>
              </w:rPr>
            </w:pPr>
            <w:r>
              <w:rPr>
                <w:rFonts w:ascii="Arial" w:hAnsi="Arial"/>
              </w:rPr>
              <w:t>Executive Summary</w:t>
            </w:r>
          </w:p>
          <w:p w:rsidR="00A63948" w:rsidRPr="00A63948" w:rsidRDefault="00A63948" w:rsidP="00A63948"/>
          <w:p w:rsidR="00E75840" w:rsidRDefault="00352354">
            <w:pPr>
              <w:pStyle w:val="Heading5"/>
              <w:rPr>
                <w:rFonts w:ascii="Arial" w:hAnsi="Arial"/>
                <w:b w:val="0"/>
                <w:u w:val="none"/>
              </w:rPr>
            </w:pPr>
            <w:r w:rsidRPr="00352354">
              <w:rPr>
                <w:rFonts w:ascii="Arial" w:hAnsi="Arial"/>
                <w:b w:val="0"/>
                <w:u w:val="none"/>
              </w:rPr>
              <w:t xml:space="preserve">The County Council currently has separate arrangements </w:t>
            </w:r>
            <w:r>
              <w:rPr>
                <w:rFonts w:ascii="Arial" w:hAnsi="Arial"/>
                <w:b w:val="0"/>
                <w:u w:val="none"/>
              </w:rPr>
              <w:t xml:space="preserve">in place </w:t>
            </w:r>
            <w:r w:rsidRPr="00352354">
              <w:rPr>
                <w:rFonts w:ascii="Arial" w:hAnsi="Arial"/>
                <w:b w:val="0"/>
                <w:u w:val="none"/>
              </w:rPr>
              <w:t xml:space="preserve">for </w:t>
            </w:r>
            <w:r>
              <w:rPr>
                <w:rFonts w:ascii="Arial" w:hAnsi="Arial"/>
                <w:b w:val="0"/>
                <w:u w:val="none"/>
              </w:rPr>
              <w:t xml:space="preserve">further education lecturers and managers employed within Lancashire Adult Learning.  These arrangements have existed since </w:t>
            </w:r>
            <w:r w:rsidR="00821847">
              <w:rPr>
                <w:rFonts w:ascii="Arial" w:hAnsi="Arial"/>
                <w:b w:val="0"/>
                <w:u w:val="none"/>
              </w:rPr>
              <w:t>1992</w:t>
            </w:r>
            <w:r>
              <w:rPr>
                <w:rFonts w:ascii="Arial" w:hAnsi="Arial"/>
                <w:b w:val="0"/>
                <w:u w:val="none"/>
              </w:rPr>
              <w:t xml:space="preserve"> and have been subject to local agreement with the University and Colleges Union (and previously the National Association of Teachers in Further and Higher Education).  The union has been consulted on the proposal to align </w:t>
            </w:r>
            <w:r w:rsidR="00443FF7">
              <w:rPr>
                <w:rFonts w:ascii="Arial" w:hAnsi="Arial"/>
                <w:b w:val="0"/>
                <w:u w:val="none"/>
              </w:rPr>
              <w:t xml:space="preserve">specified </w:t>
            </w:r>
            <w:r>
              <w:rPr>
                <w:rFonts w:ascii="Arial" w:hAnsi="Arial"/>
                <w:b w:val="0"/>
                <w:u w:val="none"/>
              </w:rPr>
              <w:t>policies/procedures with</w:t>
            </w:r>
            <w:r w:rsidR="00443FF7">
              <w:rPr>
                <w:rFonts w:ascii="Arial" w:hAnsi="Arial"/>
                <w:b w:val="0"/>
                <w:u w:val="none"/>
              </w:rPr>
              <w:t xml:space="preserve"> the</w:t>
            </w:r>
            <w:r>
              <w:rPr>
                <w:rFonts w:ascii="Arial" w:hAnsi="Arial"/>
                <w:b w:val="0"/>
                <w:u w:val="none"/>
              </w:rPr>
              <w:t xml:space="preserve"> County Council</w:t>
            </w:r>
            <w:r w:rsidR="00443FF7">
              <w:rPr>
                <w:rFonts w:ascii="Arial" w:hAnsi="Arial"/>
                <w:b w:val="0"/>
                <w:u w:val="none"/>
              </w:rPr>
              <w:t>'s Personnel Code.</w:t>
            </w:r>
          </w:p>
          <w:p w:rsidR="00352354" w:rsidRPr="00352354" w:rsidRDefault="00352354" w:rsidP="00352354"/>
          <w:p w:rsidR="00E75840" w:rsidRDefault="00E75840">
            <w:pPr>
              <w:pStyle w:val="Heading5"/>
              <w:rPr>
                <w:rFonts w:ascii="Arial" w:hAnsi="Arial"/>
                <w:u w:val="none"/>
              </w:rPr>
            </w:pPr>
            <w:r>
              <w:rPr>
                <w:rFonts w:ascii="Arial" w:hAnsi="Arial"/>
                <w:u w:val="none"/>
              </w:rPr>
              <w:t>Recommendation</w:t>
            </w:r>
          </w:p>
          <w:p w:rsidR="00A63948" w:rsidRPr="00A63948" w:rsidRDefault="00A63948" w:rsidP="00A63948"/>
          <w:p w:rsidR="00E86973" w:rsidRPr="00E457FE" w:rsidRDefault="00B54241" w:rsidP="00272969">
            <w:pPr>
              <w:spacing w:after="120"/>
              <w:rPr>
                <w:color w:val="000000" w:themeColor="text1"/>
              </w:rPr>
            </w:pPr>
            <w:r>
              <w:rPr>
                <w:color w:val="000000" w:themeColor="text1"/>
              </w:rPr>
              <w:t xml:space="preserve">The Urgency </w:t>
            </w:r>
            <w:r w:rsidRPr="00272969">
              <w:t xml:space="preserve">Committee </w:t>
            </w:r>
            <w:r w:rsidR="00C479C9" w:rsidRPr="00272969">
              <w:t>is</w:t>
            </w:r>
            <w:r w:rsidRPr="00272969">
              <w:t xml:space="preserve"> recommended to</w:t>
            </w:r>
            <w:r w:rsidR="00E86973" w:rsidRPr="00272969">
              <w:t xml:space="preserve"> </w:t>
            </w:r>
            <w:r w:rsidR="00352354" w:rsidRPr="00272969">
              <w:t>a</w:t>
            </w:r>
            <w:r w:rsidR="001E76C4" w:rsidRPr="00272969">
              <w:t xml:space="preserve">gree </w:t>
            </w:r>
            <w:r w:rsidR="00352354" w:rsidRPr="00272969">
              <w:t>t</w:t>
            </w:r>
            <w:r w:rsidR="00BE421D" w:rsidRPr="00272969">
              <w:t xml:space="preserve">hat </w:t>
            </w:r>
            <w:r w:rsidR="001E76C4" w:rsidRPr="00272969">
              <w:t xml:space="preserve">academic </w:t>
            </w:r>
            <w:proofErr w:type="gramStart"/>
            <w:r w:rsidR="001E76C4" w:rsidRPr="00272969">
              <w:t xml:space="preserve">staff employed within </w:t>
            </w:r>
            <w:r w:rsidR="00BE421D" w:rsidRPr="00272969">
              <w:t xml:space="preserve">Lancashire Adult Learning </w:t>
            </w:r>
            <w:r w:rsidR="001E76C4" w:rsidRPr="00272969">
              <w:t>are</w:t>
            </w:r>
            <w:proofErr w:type="gramEnd"/>
            <w:r w:rsidR="001E76C4" w:rsidRPr="00272969">
              <w:t xml:space="preserve"> subject to </w:t>
            </w:r>
            <w:r w:rsidR="00A63948" w:rsidRPr="00272969">
              <w:t xml:space="preserve">the Lancashire County Council </w:t>
            </w:r>
            <w:r w:rsidR="001E76C4" w:rsidRPr="00272969">
              <w:t xml:space="preserve">personnel </w:t>
            </w:r>
            <w:r w:rsidR="00BE421D" w:rsidRPr="00272969">
              <w:t xml:space="preserve">policies and procedures as </w:t>
            </w:r>
            <w:r w:rsidR="00C479C9" w:rsidRPr="00272969">
              <w:t>set out in the Report and at Appendices 'A' – 'F'.</w:t>
            </w:r>
            <w:r w:rsidR="001E76C4" w:rsidRPr="00272969">
              <w:t xml:space="preserve"> </w:t>
            </w:r>
          </w:p>
        </w:tc>
      </w:tr>
    </w:tbl>
    <w:p w:rsidR="00C67C61" w:rsidRPr="00E457FE" w:rsidRDefault="00C67C61">
      <w:pPr>
        <w:rPr>
          <w:b/>
          <w:color w:val="000000" w:themeColor="text1"/>
        </w:rPr>
      </w:pPr>
    </w:p>
    <w:p w:rsidR="005D2D37" w:rsidRDefault="005D2D37" w:rsidP="005D2D37">
      <w:pPr>
        <w:rPr>
          <w:b/>
          <w:color w:val="000000" w:themeColor="text1"/>
        </w:rPr>
      </w:pPr>
      <w:r w:rsidRPr="00E457FE">
        <w:rPr>
          <w:b/>
          <w:color w:val="000000" w:themeColor="text1"/>
        </w:rPr>
        <w:t xml:space="preserve">Background and Advice </w:t>
      </w:r>
    </w:p>
    <w:p w:rsidR="00A63948" w:rsidRPr="00E457FE" w:rsidRDefault="00A63948" w:rsidP="005D2D37">
      <w:pPr>
        <w:rPr>
          <w:b/>
          <w:color w:val="000000" w:themeColor="text1"/>
        </w:rPr>
      </w:pPr>
    </w:p>
    <w:p w:rsidR="00CB55C2" w:rsidRDefault="005D6694" w:rsidP="005D6694">
      <w:pPr>
        <w:autoSpaceDE w:val="0"/>
        <w:autoSpaceDN w:val="0"/>
        <w:rPr>
          <w:rFonts w:cs="Arial"/>
          <w:bCs/>
        </w:rPr>
      </w:pPr>
      <w:r>
        <w:rPr>
          <w:rFonts w:cs="Arial"/>
          <w:bCs/>
        </w:rPr>
        <w:t xml:space="preserve">Since </w:t>
      </w:r>
      <w:r w:rsidR="009A2D0D">
        <w:rPr>
          <w:rFonts w:cs="Arial"/>
          <w:bCs/>
        </w:rPr>
        <w:t xml:space="preserve">Lancashire Adult Learning was created by </w:t>
      </w:r>
      <w:r>
        <w:rPr>
          <w:rFonts w:cs="Arial"/>
          <w:bCs/>
        </w:rPr>
        <w:t>further education</w:t>
      </w:r>
      <w:r w:rsidRPr="00174FC0">
        <w:rPr>
          <w:rFonts w:cs="Arial"/>
          <w:bCs/>
        </w:rPr>
        <w:t xml:space="preserve"> incorporation </w:t>
      </w:r>
      <w:r w:rsidR="00443FF7">
        <w:rPr>
          <w:rFonts w:cs="Arial"/>
          <w:bCs/>
        </w:rPr>
        <w:t xml:space="preserve">in 1992, </w:t>
      </w:r>
      <w:r>
        <w:rPr>
          <w:rFonts w:cs="Arial"/>
          <w:bCs/>
        </w:rPr>
        <w:t>further education</w:t>
      </w:r>
      <w:r w:rsidRPr="00174FC0">
        <w:rPr>
          <w:rFonts w:cs="Arial"/>
          <w:bCs/>
        </w:rPr>
        <w:t xml:space="preserve"> lecturers have been employed on </w:t>
      </w:r>
      <w:r w:rsidR="009E4667">
        <w:rPr>
          <w:rFonts w:cs="Arial"/>
          <w:bCs/>
        </w:rPr>
        <w:t>local</w:t>
      </w:r>
      <w:r w:rsidRPr="00174FC0">
        <w:rPr>
          <w:rFonts w:cs="Arial"/>
          <w:bCs/>
        </w:rPr>
        <w:t xml:space="preserve"> </w:t>
      </w:r>
      <w:r w:rsidR="003523B6">
        <w:rPr>
          <w:rFonts w:cs="Arial"/>
          <w:bCs/>
        </w:rPr>
        <w:t xml:space="preserve">policies, </w:t>
      </w:r>
      <w:r w:rsidRPr="00174FC0">
        <w:rPr>
          <w:rFonts w:cs="Arial"/>
          <w:bCs/>
        </w:rPr>
        <w:t>terms and conditions</w:t>
      </w:r>
      <w:r w:rsidR="009E4667">
        <w:rPr>
          <w:rFonts w:cs="Arial"/>
          <w:bCs/>
        </w:rPr>
        <w:t xml:space="preserve"> – known as the Red Book</w:t>
      </w:r>
      <w:r w:rsidR="003523B6">
        <w:rPr>
          <w:rFonts w:cs="Arial"/>
          <w:bCs/>
        </w:rPr>
        <w:t>,</w:t>
      </w:r>
      <w:r w:rsidRPr="00174FC0">
        <w:rPr>
          <w:rFonts w:cs="Arial"/>
          <w:bCs/>
        </w:rPr>
        <w:t xml:space="preserve"> </w:t>
      </w:r>
      <w:r>
        <w:rPr>
          <w:rFonts w:cs="Arial"/>
          <w:bCs/>
        </w:rPr>
        <w:t xml:space="preserve">which were </w:t>
      </w:r>
      <w:r w:rsidRPr="00174FC0">
        <w:rPr>
          <w:rFonts w:cs="Arial"/>
          <w:bCs/>
        </w:rPr>
        <w:t xml:space="preserve">based on the </w:t>
      </w:r>
      <w:r w:rsidR="003523B6">
        <w:rPr>
          <w:rFonts w:cs="Arial"/>
          <w:bCs/>
        </w:rPr>
        <w:t>further education</w:t>
      </w:r>
      <w:r w:rsidR="009E4667">
        <w:rPr>
          <w:rFonts w:cs="Arial"/>
          <w:bCs/>
        </w:rPr>
        <w:t xml:space="preserve"> policies,</w:t>
      </w:r>
      <w:r w:rsidRPr="00174FC0">
        <w:rPr>
          <w:rFonts w:cs="Arial"/>
          <w:bCs/>
        </w:rPr>
        <w:t xml:space="preserve"> terms </w:t>
      </w:r>
      <w:r w:rsidR="009E4667">
        <w:rPr>
          <w:rFonts w:cs="Arial"/>
          <w:bCs/>
        </w:rPr>
        <w:t xml:space="preserve">and conditions </w:t>
      </w:r>
      <w:r w:rsidRPr="00174FC0">
        <w:rPr>
          <w:rFonts w:cs="Arial"/>
          <w:bCs/>
        </w:rPr>
        <w:t xml:space="preserve">that applied at the time of incorporation.  </w:t>
      </w:r>
    </w:p>
    <w:p w:rsidR="00CB55C2" w:rsidRDefault="00CB55C2" w:rsidP="005D6694">
      <w:pPr>
        <w:autoSpaceDE w:val="0"/>
        <w:autoSpaceDN w:val="0"/>
        <w:rPr>
          <w:rFonts w:cs="Arial"/>
          <w:bCs/>
        </w:rPr>
      </w:pPr>
    </w:p>
    <w:p w:rsidR="00CB55C2" w:rsidRDefault="005D6694" w:rsidP="005D6694">
      <w:pPr>
        <w:autoSpaceDE w:val="0"/>
        <w:autoSpaceDN w:val="0"/>
        <w:rPr>
          <w:rFonts w:cs="Arial"/>
          <w:bCs/>
        </w:rPr>
      </w:pPr>
      <w:r w:rsidRPr="00174FC0">
        <w:rPr>
          <w:rFonts w:cs="Arial"/>
          <w:bCs/>
        </w:rPr>
        <w:t xml:space="preserve">Each year these have been subject to local </w:t>
      </w:r>
      <w:r w:rsidR="009E4667">
        <w:rPr>
          <w:rFonts w:cs="Arial"/>
          <w:bCs/>
        </w:rPr>
        <w:t xml:space="preserve">review and </w:t>
      </w:r>
      <w:r w:rsidRPr="00174FC0">
        <w:rPr>
          <w:rFonts w:cs="Arial"/>
          <w:bCs/>
        </w:rPr>
        <w:t>agreement</w:t>
      </w:r>
      <w:r>
        <w:rPr>
          <w:rFonts w:cs="Arial"/>
          <w:bCs/>
        </w:rPr>
        <w:t xml:space="preserve"> between the County Council and the </w:t>
      </w:r>
      <w:r w:rsidR="009A2D0D">
        <w:rPr>
          <w:rFonts w:cs="Arial"/>
          <w:bCs/>
        </w:rPr>
        <w:t xml:space="preserve">trade </w:t>
      </w:r>
      <w:r>
        <w:rPr>
          <w:rFonts w:cs="Arial"/>
          <w:bCs/>
        </w:rPr>
        <w:t>unions</w:t>
      </w:r>
      <w:r w:rsidRPr="00174FC0">
        <w:rPr>
          <w:rFonts w:cs="Arial"/>
          <w:bCs/>
        </w:rPr>
        <w:t>.  This arrangement has been difficult to m</w:t>
      </w:r>
      <w:r w:rsidR="009A2D0D">
        <w:rPr>
          <w:rFonts w:cs="Arial"/>
          <w:bCs/>
        </w:rPr>
        <w:t>aintain and is no longer</w:t>
      </w:r>
      <w:r w:rsidR="00CB55C2">
        <w:rPr>
          <w:rFonts w:cs="Arial"/>
          <w:bCs/>
        </w:rPr>
        <w:t xml:space="preserve"> sustainable, especially following a 50% reduction in management posts following the restructure </w:t>
      </w:r>
      <w:r w:rsidR="009E4667">
        <w:rPr>
          <w:rFonts w:cs="Arial"/>
          <w:bCs/>
        </w:rPr>
        <w:t xml:space="preserve">of the service </w:t>
      </w:r>
      <w:r w:rsidR="00CB55C2">
        <w:rPr>
          <w:rFonts w:cs="Arial"/>
          <w:bCs/>
        </w:rPr>
        <w:t xml:space="preserve">earlier this year. </w:t>
      </w:r>
      <w:r w:rsidRPr="00174FC0">
        <w:rPr>
          <w:rFonts w:cs="Arial"/>
          <w:bCs/>
        </w:rPr>
        <w:t xml:space="preserve">  </w:t>
      </w:r>
    </w:p>
    <w:p w:rsidR="00CB55C2" w:rsidRDefault="00CB55C2" w:rsidP="005D6694">
      <w:pPr>
        <w:autoSpaceDE w:val="0"/>
        <w:autoSpaceDN w:val="0"/>
        <w:rPr>
          <w:rFonts w:cs="Arial"/>
          <w:bCs/>
        </w:rPr>
      </w:pPr>
    </w:p>
    <w:p w:rsidR="005D6694" w:rsidRDefault="005D6694" w:rsidP="005D6694">
      <w:pPr>
        <w:autoSpaceDE w:val="0"/>
        <w:autoSpaceDN w:val="0"/>
        <w:rPr>
          <w:rFonts w:cs="Arial"/>
          <w:bCs/>
        </w:rPr>
      </w:pPr>
      <w:r w:rsidRPr="00174FC0">
        <w:rPr>
          <w:rFonts w:cs="Arial"/>
          <w:bCs/>
        </w:rPr>
        <w:t>As a result</w:t>
      </w:r>
      <w:r>
        <w:rPr>
          <w:rFonts w:cs="Arial"/>
          <w:bCs/>
        </w:rPr>
        <w:t>,</w:t>
      </w:r>
      <w:r w:rsidRPr="00174FC0">
        <w:rPr>
          <w:rFonts w:cs="Arial"/>
          <w:bCs/>
        </w:rPr>
        <w:t xml:space="preserve"> </w:t>
      </w:r>
      <w:r w:rsidR="001E76C4">
        <w:rPr>
          <w:rFonts w:cs="Arial"/>
          <w:bCs/>
        </w:rPr>
        <w:t xml:space="preserve">on </w:t>
      </w:r>
      <w:r w:rsidRPr="00174FC0">
        <w:rPr>
          <w:rFonts w:cs="Arial"/>
          <w:bCs/>
        </w:rPr>
        <w:t>HR advice</w:t>
      </w:r>
      <w:r>
        <w:rPr>
          <w:rFonts w:cs="Arial"/>
          <w:bCs/>
        </w:rPr>
        <w:t>,</w:t>
      </w:r>
      <w:r w:rsidRPr="00174FC0">
        <w:rPr>
          <w:rFonts w:cs="Arial"/>
          <w:bCs/>
        </w:rPr>
        <w:t xml:space="preserve"> consultation has taken place with the University and College Union and agreement reached to align the </w:t>
      </w:r>
      <w:r w:rsidR="003523B6">
        <w:rPr>
          <w:rFonts w:cs="Arial"/>
          <w:bCs/>
        </w:rPr>
        <w:t>following</w:t>
      </w:r>
      <w:r w:rsidRPr="00174FC0">
        <w:rPr>
          <w:rFonts w:cs="Arial"/>
          <w:bCs/>
        </w:rPr>
        <w:t xml:space="preserve"> policies with the County Council's existing policies</w:t>
      </w:r>
      <w:r w:rsidR="00443FF7">
        <w:rPr>
          <w:rFonts w:cs="Arial"/>
          <w:bCs/>
        </w:rPr>
        <w:t xml:space="preserve"> in the Personnel Code</w:t>
      </w:r>
      <w:r w:rsidR="003523B6">
        <w:rPr>
          <w:rFonts w:cs="Arial"/>
          <w:bCs/>
        </w:rPr>
        <w:t>:</w:t>
      </w:r>
    </w:p>
    <w:p w:rsidR="00A63948" w:rsidRDefault="00A63948" w:rsidP="005D6694">
      <w:pPr>
        <w:autoSpaceDE w:val="0"/>
        <w:autoSpaceDN w:val="0"/>
        <w:rPr>
          <w:rFonts w:cs="Arial"/>
          <w:bCs/>
        </w:rPr>
      </w:pPr>
    </w:p>
    <w:tbl>
      <w:tblPr>
        <w:tblStyle w:val="TableGrid"/>
        <w:tblW w:w="8755" w:type="dxa"/>
        <w:tblLook w:val="04A0"/>
      </w:tblPr>
      <w:tblGrid>
        <w:gridCol w:w="8755"/>
      </w:tblGrid>
      <w:tr w:rsidR="00D76BC4" w:rsidRPr="00770189" w:rsidTr="00D76BC4">
        <w:tc>
          <w:tcPr>
            <w:tcW w:w="8755" w:type="dxa"/>
          </w:tcPr>
          <w:p w:rsidR="00D76BC4" w:rsidRPr="00770189" w:rsidRDefault="00D76BC4" w:rsidP="005D6694">
            <w:pPr>
              <w:autoSpaceDE w:val="0"/>
              <w:autoSpaceDN w:val="0"/>
              <w:rPr>
                <w:rFonts w:cs="Arial"/>
                <w:b/>
                <w:bCs/>
              </w:rPr>
            </w:pPr>
            <w:r>
              <w:rPr>
                <w:rFonts w:cs="Arial"/>
                <w:b/>
                <w:bCs/>
              </w:rPr>
              <w:t>Policies/Procedures to be aligned</w:t>
            </w:r>
            <w:r w:rsidR="00CB55C2">
              <w:rPr>
                <w:rFonts w:cs="Arial"/>
                <w:b/>
                <w:bCs/>
              </w:rPr>
              <w:t xml:space="preserve"> from Red Book to Personnel Code</w:t>
            </w:r>
          </w:p>
        </w:tc>
      </w:tr>
      <w:tr w:rsidR="00D76BC4" w:rsidRPr="00272969" w:rsidTr="00D76BC4">
        <w:tc>
          <w:tcPr>
            <w:tcW w:w="8755" w:type="dxa"/>
          </w:tcPr>
          <w:p w:rsidR="00D76BC4" w:rsidRPr="00272969" w:rsidRDefault="00D76BC4" w:rsidP="00076B3F">
            <w:pPr>
              <w:autoSpaceDE w:val="0"/>
              <w:autoSpaceDN w:val="0"/>
              <w:rPr>
                <w:rFonts w:cs="Arial"/>
                <w:bCs/>
              </w:rPr>
            </w:pPr>
            <w:r w:rsidRPr="00272969">
              <w:rPr>
                <w:rFonts w:cs="Arial"/>
                <w:bCs/>
              </w:rPr>
              <w:t>Grievance (Red Book reference - Section 11)</w:t>
            </w:r>
            <w:r w:rsidR="00C479C9" w:rsidRPr="00272969">
              <w:rPr>
                <w:rFonts w:cs="Arial"/>
                <w:bCs/>
              </w:rPr>
              <w:t xml:space="preserve"> Appendix 'F' refers</w:t>
            </w:r>
          </w:p>
        </w:tc>
      </w:tr>
      <w:tr w:rsidR="00D76BC4" w:rsidRPr="00272969" w:rsidTr="00D76BC4">
        <w:tc>
          <w:tcPr>
            <w:tcW w:w="8755" w:type="dxa"/>
          </w:tcPr>
          <w:p w:rsidR="00D76BC4" w:rsidRPr="00272969" w:rsidRDefault="00D76BC4" w:rsidP="00076B3F">
            <w:pPr>
              <w:autoSpaceDE w:val="0"/>
              <w:autoSpaceDN w:val="0"/>
              <w:rPr>
                <w:rFonts w:cs="Arial"/>
                <w:bCs/>
              </w:rPr>
            </w:pPr>
            <w:r w:rsidRPr="00272969">
              <w:rPr>
                <w:rFonts w:cs="Arial"/>
                <w:bCs/>
              </w:rPr>
              <w:t>Disciplinary &amp; Capability (Red Book reference - Section 10)</w:t>
            </w:r>
            <w:r w:rsidR="00C479C9" w:rsidRPr="00272969">
              <w:rPr>
                <w:rFonts w:cs="Arial"/>
                <w:bCs/>
              </w:rPr>
              <w:t xml:space="preserve"> Appendix 'E' refers</w:t>
            </w:r>
          </w:p>
        </w:tc>
      </w:tr>
      <w:tr w:rsidR="00D76BC4" w:rsidRPr="00272969" w:rsidTr="00D76BC4">
        <w:tc>
          <w:tcPr>
            <w:tcW w:w="8755" w:type="dxa"/>
          </w:tcPr>
          <w:p w:rsidR="00D76BC4" w:rsidRPr="00272969" w:rsidRDefault="00D76BC4" w:rsidP="005D6694">
            <w:pPr>
              <w:autoSpaceDE w:val="0"/>
              <w:autoSpaceDN w:val="0"/>
              <w:rPr>
                <w:rFonts w:cs="Arial"/>
                <w:bCs/>
              </w:rPr>
            </w:pPr>
            <w:r w:rsidRPr="00272969">
              <w:rPr>
                <w:rFonts w:cs="Arial"/>
                <w:bCs/>
              </w:rPr>
              <w:lastRenderedPageBreak/>
              <w:t>Probation (Red Book reference - Section 3 – Para 3)</w:t>
            </w:r>
            <w:r w:rsidR="00C479C9" w:rsidRPr="00272969">
              <w:rPr>
                <w:rFonts w:cs="Arial"/>
                <w:bCs/>
              </w:rPr>
              <w:t xml:space="preserve"> Appendix 'A' refers</w:t>
            </w:r>
          </w:p>
        </w:tc>
      </w:tr>
      <w:tr w:rsidR="00D76BC4" w:rsidRPr="00272969" w:rsidTr="00D76BC4">
        <w:tc>
          <w:tcPr>
            <w:tcW w:w="8755" w:type="dxa"/>
          </w:tcPr>
          <w:p w:rsidR="00D76BC4" w:rsidRPr="00272969" w:rsidRDefault="00D76BC4" w:rsidP="00076B3F">
            <w:pPr>
              <w:autoSpaceDE w:val="0"/>
              <w:autoSpaceDN w:val="0"/>
              <w:rPr>
                <w:rFonts w:cs="Arial"/>
                <w:bCs/>
              </w:rPr>
            </w:pPr>
            <w:r w:rsidRPr="00272969">
              <w:rPr>
                <w:rFonts w:cs="Arial"/>
                <w:bCs/>
              </w:rPr>
              <w:t>Absence (Red Book reference - Section 6)</w:t>
            </w:r>
            <w:r w:rsidR="00C479C9" w:rsidRPr="00272969">
              <w:rPr>
                <w:rFonts w:cs="Arial"/>
                <w:bCs/>
              </w:rPr>
              <w:t xml:space="preserve"> Appendix 'C' refers</w:t>
            </w:r>
          </w:p>
        </w:tc>
      </w:tr>
      <w:tr w:rsidR="00D76BC4" w:rsidRPr="00272969" w:rsidTr="00D76BC4">
        <w:tc>
          <w:tcPr>
            <w:tcW w:w="8755" w:type="dxa"/>
          </w:tcPr>
          <w:p w:rsidR="00D76BC4" w:rsidRPr="00272969" w:rsidRDefault="00D76BC4" w:rsidP="00076B3F">
            <w:pPr>
              <w:autoSpaceDE w:val="0"/>
              <w:autoSpaceDN w:val="0"/>
              <w:rPr>
                <w:rFonts w:cs="Arial"/>
                <w:bCs/>
              </w:rPr>
            </w:pPr>
            <w:r w:rsidRPr="00272969">
              <w:rPr>
                <w:rFonts w:cs="Arial"/>
                <w:bCs/>
              </w:rPr>
              <w:t>Sick leave and sick pay (Red Book reference - Section 5)</w:t>
            </w:r>
            <w:r w:rsidR="00C479C9" w:rsidRPr="00272969">
              <w:rPr>
                <w:rFonts w:cs="Arial"/>
                <w:bCs/>
              </w:rPr>
              <w:t xml:space="preserve"> Appendix 'B' refers</w:t>
            </w:r>
          </w:p>
        </w:tc>
      </w:tr>
      <w:tr w:rsidR="00D76BC4" w:rsidRPr="00272969" w:rsidTr="00D76BC4">
        <w:tc>
          <w:tcPr>
            <w:tcW w:w="8755" w:type="dxa"/>
          </w:tcPr>
          <w:p w:rsidR="00D76BC4" w:rsidRPr="00272969" w:rsidRDefault="00D76BC4" w:rsidP="005D6694">
            <w:pPr>
              <w:autoSpaceDE w:val="0"/>
              <w:autoSpaceDN w:val="0"/>
              <w:rPr>
                <w:rFonts w:cs="Arial"/>
                <w:bCs/>
              </w:rPr>
            </w:pPr>
            <w:r w:rsidRPr="00272969">
              <w:rPr>
                <w:rFonts w:cs="Arial"/>
                <w:bCs/>
              </w:rPr>
              <w:t>Maternity (Red Book reference - Section 3 – Para 7)</w:t>
            </w:r>
            <w:r w:rsidR="00C479C9" w:rsidRPr="00272969">
              <w:rPr>
                <w:rFonts w:cs="Arial"/>
                <w:bCs/>
              </w:rPr>
              <w:t xml:space="preserve"> Appendix 'A' refers</w:t>
            </w:r>
          </w:p>
        </w:tc>
      </w:tr>
      <w:tr w:rsidR="00D76BC4" w:rsidRPr="00272969" w:rsidTr="00D76BC4">
        <w:tc>
          <w:tcPr>
            <w:tcW w:w="8755" w:type="dxa"/>
          </w:tcPr>
          <w:p w:rsidR="00D76BC4" w:rsidRPr="00272969" w:rsidRDefault="00D76BC4" w:rsidP="009E4667">
            <w:pPr>
              <w:autoSpaceDE w:val="0"/>
              <w:autoSpaceDN w:val="0"/>
              <w:rPr>
                <w:rFonts w:cs="Arial"/>
                <w:bCs/>
              </w:rPr>
            </w:pPr>
            <w:r w:rsidRPr="00272969">
              <w:rPr>
                <w:rFonts w:cs="Arial"/>
                <w:bCs/>
              </w:rPr>
              <w:t xml:space="preserve">Redundancy </w:t>
            </w:r>
            <w:r w:rsidRPr="00272969">
              <w:rPr>
                <w:rFonts w:cs="Arial"/>
                <w:bCs/>
                <w:i/>
                <w:sz w:val="20"/>
              </w:rPr>
              <w:t>(excluding the</w:t>
            </w:r>
            <w:r w:rsidR="009E4667" w:rsidRPr="00272969">
              <w:rPr>
                <w:rFonts w:cs="Arial"/>
                <w:bCs/>
                <w:i/>
                <w:sz w:val="20"/>
              </w:rPr>
              <w:t xml:space="preserve"> redundancy </w:t>
            </w:r>
            <w:r w:rsidRPr="00272969">
              <w:rPr>
                <w:rFonts w:cs="Arial"/>
                <w:bCs/>
                <w:i/>
                <w:sz w:val="20"/>
              </w:rPr>
              <w:t>calculator</w:t>
            </w:r>
            <w:r w:rsidR="009E4667" w:rsidRPr="00272969">
              <w:rPr>
                <w:rFonts w:cs="Arial"/>
                <w:bCs/>
                <w:i/>
                <w:sz w:val="20"/>
              </w:rPr>
              <w:t xml:space="preserve"> due to Teachers Pension Scheme regulations</w:t>
            </w:r>
            <w:r w:rsidRPr="00272969">
              <w:rPr>
                <w:rFonts w:cs="Arial"/>
                <w:bCs/>
                <w:i/>
                <w:sz w:val="20"/>
              </w:rPr>
              <w:t>)</w:t>
            </w:r>
            <w:r w:rsidRPr="00272969">
              <w:rPr>
                <w:rFonts w:cs="Arial"/>
                <w:bCs/>
                <w:sz w:val="20"/>
              </w:rPr>
              <w:t xml:space="preserve"> </w:t>
            </w:r>
            <w:r w:rsidRPr="00272969">
              <w:rPr>
                <w:rFonts w:cs="Arial"/>
                <w:bCs/>
              </w:rPr>
              <w:t>(Red Book reference - Section 8)</w:t>
            </w:r>
            <w:r w:rsidR="00C479C9" w:rsidRPr="00272969">
              <w:rPr>
                <w:rFonts w:cs="Arial"/>
                <w:bCs/>
              </w:rPr>
              <w:t xml:space="preserve"> Appendix 'D' refers</w:t>
            </w:r>
          </w:p>
        </w:tc>
      </w:tr>
      <w:tr w:rsidR="00D76BC4" w:rsidRPr="00272969" w:rsidTr="00D76BC4">
        <w:tc>
          <w:tcPr>
            <w:tcW w:w="8755" w:type="dxa"/>
          </w:tcPr>
          <w:p w:rsidR="00D76BC4" w:rsidRPr="00272969" w:rsidRDefault="00D76BC4" w:rsidP="005D6694">
            <w:pPr>
              <w:autoSpaceDE w:val="0"/>
              <w:autoSpaceDN w:val="0"/>
              <w:rPr>
                <w:rFonts w:cs="Arial"/>
                <w:bCs/>
              </w:rPr>
            </w:pPr>
            <w:r w:rsidRPr="00272969">
              <w:rPr>
                <w:rFonts w:cs="Arial"/>
                <w:bCs/>
              </w:rPr>
              <w:t>Travel expenses (Red Book reference - Section 3 – Para 5 (g))</w:t>
            </w:r>
            <w:r w:rsidR="00C479C9" w:rsidRPr="00272969">
              <w:rPr>
                <w:rFonts w:cs="Arial"/>
                <w:bCs/>
              </w:rPr>
              <w:t xml:space="preserve"> Appendix 'A' refers</w:t>
            </w:r>
          </w:p>
        </w:tc>
      </w:tr>
    </w:tbl>
    <w:p w:rsidR="005D6694" w:rsidRPr="00272969" w:rsidRDefault="00272969" w:rsidP="00272969">
      <w:pPr>
        <w:tabs>
          <w:tab w:val="left" w:pos="7230"/>
        </w:tabs>
        <w:autoSpaceDE w:val="0"/>
        <w:autoSpaceDN w:val="0"/>
        <w:adjustRightInd w:val="0"/>
        <w:rPr>
          <w:rFonts w:cs="Arial"/>
          <w:i/>
          <w:iCs/>
          <w:szCs w:val="24"/>
        </w:rPr>
      </w:pPr>
      <w:r w:rsidRPr="00272969">
        <w:rPr>
          <w:rFonts w:cs="Arial"/>
          <w:i/>
          <w:iCs/>
          <w:szCs w:val="24"/>
        </w:rPr>
        <w:tab/>
      </w:r>
    </w:p>
    <w:p w:rsidR="00CB55C2" w:rsidRPr="00D76BC4" w:rsidRDefault="00CB55C2" w:rsidP="00CB55C2">
      <w:pPr>
        <w:autoSpaceDE w:val="0"/>
        <w:autoSpaceDN w:val="0"/>
        <w:adjustRightInd w:val="0"/>
        <w:rPr>
          <w:rFonts w:ascii="Comic Sans MS" w:hAnsi="Comic Sans MS"/>
          <w:b/>
          <w:bCs/>
          <w:sz w:val="20"/>
        </w:rPr>
      </w:pPr>
      <w:r>
        <w:rPr>
          <w:rFonts w:cs="Arial"/>
          <w:szCs w:val="24"/>
        </w:rPr>
        <w:t>This will leave a number of policies, terms and conditions that are specific to teaching staff in Lancashire Adult Learning e.g. r</w:t>
      </w:r>
      <w:r w:rsidR="00076B3F" w:rsidRPr="00D76BC4">
        <w:rPr>
          <w:rFonts w:cs="Arial"/>
          <w:szCs w:val="24"/>
        </w:rPr>
        <w:t>ates of Pay and Definition of Teaching Duties (Red Book - Section 4)</w:t>
      </w:r>
      <w:r>
        <w:rPr>
          <w:rFonts w:cs="Arial"/>
          <w:szCs w:val="24"/>
        </w:rPr>
        <w:t xml:space="preserve"> and ho</w:t>
      </w:r>
      <w:r w:rsidR="00BD7A39" w:rsidRPr="00D76BC4">
        <w:rPr>
          <w:rFonts w:cs="Arial"/>
          <w:szCs w:val="24"/>
        </w:rPr>
        <w:t xml:space="preserve">liday pay and </w:t>
      </w:r>
      <w:r w:rsidR="00076B3F" w:rsidRPr="00D76BC4">
        <w:rPr>
          <w:rFonts w:cs="Arial"/>
          <w:szCs w:val="24"/>
        </w:rPr>
        <w:t>entitlement</w:t>
      </w:r>
      <w:r>
        <w:rPr>
          <w:rFonts w:cs="Arial"/>
          <w:szCs w:val="24"/>
        </w:rPr>
        <w:t xml:space="preserve"> (Section 3 – 5(g)).  </w:t>
      </w:r>
      <w:r w:rsidR="00901F01">
        <w:rPr>
          <w:rFonts w:cs="Arial"/>
          <w:szCs w:val="24"/>
        </w:rPr>
        <w:t xml:space="preserve">These will continue to be </w:t>
      </w:r>
      <w:r w:rsidR="009E4667">
        <w:rPr>
          <w:rFonts w:cs="Arial"/>
          <w:szCs w:val="24"/>
        </w:rPr>
        <w:t xml:space="preserve">detailed in the Red Book </w:t>
      </w:r>
      <w:r>
        <w:rPr>
          <w:rFonts w:cs="Arial"/>
          <w:szCs w:val="24"/>
        </w:rPr>
        <w:t>unless or until there is a corporate review of specialist groups of staff across the County Council</w:t>
      </w:r>
      <w:r w:rsidR="009E4667">
        <w:rPr>
          <w:rFonts w:cs="Arial"/>
          <w:szCs w:val="24"/>
        </w:rPr>
        <w:t>.</w:t>
      </w:r>
    </w:p>
    <w:p w:rsidR="00E75840" w:rsidRPr="00DD38CD" w:rsidRDefault="00E75840" w:rsidP="00FB268C">
      <w:pPr>
        <w:rPr>
          <w:b/>
          <w:color w:val="000000" w:themeColor="text1"/>
        </w:rPr>
      </w:pPr>
    </w:p>
    <w:p w:rsidR="005D2D37" w:rsidRDefault="005D2D37" w:rsidP="005D2D37">
      <w:pPr>
        <w:rPr>
          <w:b/>
          <w:color w:val="000000"/>
        </w:rPr>
      </w:pPr>
      <w:r w:rsidRPr="00DD38CD">
        <w:rPr>
          <w:b/>
          <w:color w:val="000000"/>
        </w:rPr>
        <w:t>Consultations</w:t>
      </w:r>
    </w:p>
    <w:p w:rsidR="00A63948" w:rsidRPr="00DD38CD" w:rsidRDefault="00A63948" w:rsidP="005D2D37">
      <w:pPr>
        <w:rPr>
          <w:b/>
          <w:color w:val="000000"/>
        </w:rPr>
      </w:pPr>
    </w:p>
    <w:p w:rsidR="00105DCE" w:rsidRPr="00352354" w:rsidRDefault="00352354" w:rsidP="00FB268C">
      <w:r w:rsidRPr="00352354">
        <w:t>The University and Colleges Union have been consulted on the alignment of these policies and are in agreement with the proposals.</w:t>
      </w:r>
    </w:p>
    <w:p w:rsidR="00E86973" w:rsidRPr="00017785" w:rsidRDefault="00E86973" w:rsidP="00FB268C">
      <w:pPr>
        <w:rPr>
          <w:b/>
          <w:bCs/>
          <w:color w:val="FF0000"/>
        </w:rPr>
      </w:pPr>
    </w:p>
    <w:p w:rsidR="005D2D37" w:rsidRDefault="005D2D37" w:rsidP="005D2D37">
      <w:r>
        <w:rPr>
          <w:b/>
        </w:rPr>
        <w:t>Implications</w:t>
      </w:r>
      <w:r>
        <w:t xml:space="preserve">: </w:t>
      </w:r>
    </w:p>
    <w:p w:rsidR="005D2D37" w:rsidRDefault="005D2D37" w:rsidP="005D2D37"/>
    <w:p w:rsidR="009E4667" w:rsidRDefault="009E4667" w:rsidP="005D2D37">
      <w:r>
        <w:t>There are no other implications.</w:t>
      </w:r>
    </w:p>
    <w:p w:rsidR="00E457FE" w:rsidRDefault="00E457FE" w:rsidP="005D2D37">
      <w:pPr>
        <w:pStyle w:val="Header"/>
      </w:pPr>
    </w:p>
    <w:p w:rsidR="005D6694" w:rsidRDefault="005D6694" w:rsidP="005D2D37">
      <w:pPr>
        <w:pStyle w:val="Header"/>
      </w:pPr>
    </w:p>
    <w:p w:rsidR="005D2D37" w:rsidRDefault="005D2D37" w:rsidP="005D2D37">
      <w:pPr>
        <w:pStyle w:val="BodyText2"/>
        <w:rPr>
          <w:rFonts w:ascii="Arial" w:hAnsi="Arial"/>
          <w:u w:val="none"/>
        </w:rPr>
      </w:pPr>
      <w:r>
        <w:rPr>
          <w:rFonts w:ascii="Arial" w:hAnsi="Arial"/>
          <w:u w:val="none"/>
        </w:rPr>
        <w:t>Any representations made to the Cabinet Member prior to the issue being considered in accordance with the Public Notice of Forward Plans</w:t>
      </w:r>
    </w:p>
    <w:p w:rsidR="005D2D37" w:rsidRDefault="005D2D37" w:rsidP="005D2D37">
      <w:pPr>
        <w:rPr>
          <w:b/>
          <w:u w:val="single"/>
        </w:rPr>
      </w:pPr>
    </w:p>
    <w:tbl>
      <w:tblPr>
        <w:tblW w:w="0" w:type="auto"/>
        <w:tblLayout w:type="fixed"/>
        <w:tblLook w:val="000C"/>
      </w:tblPr>
      <w:tblGrid>
        <w:gridCol w:w="3510"/>
        <w:gridCol w:w="2492"/>
        <w:gridCol w:w="3178"/>
      </w:tblGrid>
      <w:tr w:rsidR="005D2D37" w:rsidTr="00E457FE">
        <w:tc>
          <w:tcPr>
            <w:tcW w:w="3510" w:type="dxa"/>
          </w:tcPr>
          <w:p w:rsidR="005D2D37" w:rsidRDefault="005D2D37" w:rsidP="00E457FE">
            <w:r>
              <w:t>Name:</w:t>
            </w:r>
          </w:p>
        </w:tc>
        <w:tc>
          <w:tcPr>
            <w:tcW w:w="2492" w:type="dxa"/>
          </w:tcPr>
          <w:p w:rsidR="005D2D37" w:rsidRDefault="005D2D37" w:rsidP="00E457FE">
            <w:r>
              <w:t>Organisation:</w:t>
            </w:r>
          </w:p>
        </w:tc>
        <w:tc>
          <w:tcPr>
            <w:tcW w:w="3178" w:type="dxa"/>
          </w:tcPr>
          <w:p w:rsidR="005D2D37" w:rsidRDefault="005D2D37" w:rsidP="00E457FE">
            <w:r>
              <w:t>Comments:</w:t>
            </w:r>
          </w:p>
        </w:tc>
      </w:tr>
      <w:tr w:rsidR="005D2D37" w:rsidTr="00E457FE">
        <w:tc>
          <w:tcPr>
            <w:tcW w:w="3510" w:type="dxa"/>
          </w:tcPr>
          <w:p w:rsidR="005D2D37" w:rsidRDefault="005D2D37" w:rsidP="00E457FE"/>
          <w:p w:rsidR="005D2D37" w:rsidRDefault="00DD38CD" w:rsidP="00E457FE">
            <w:r>
              <w:t>N/A</w:t>
            </w:r>
          </w:p>
          <w:p w:rsidR="005D2D37" w:rsidRDefault="005D2D37" w:rsidP="00E457FE"/>
        </w:tc>
        <w:tc>
          <w:tcPr>
            <w:tcW w:w="2492" w:type="dxa"/>
          </w:tcPr>
          <w:p w:rsidR="005D2D37" w:rsidRDefault="005D2D37" w:rsidP="00E457FE"/>
          <w:p w:rsidR="005D2D37" w:rsidRDefault="005D2D37" w:rsidP="00E457FE"/>
        </w:tc>
        <w:tc>
          <w:tcPr>
            <w:tcW w:w="3178" w:type="dxa"/>
          </w:tcPr>
          <w:p w:rsidR="005D2D37" w:rsidRDefault="005D2D37" w:rsidP="00E457FE"/>
          <w:p w:rsidR="005D2D37" w:rsidRDefault="005D2D37" w:rsidP="00E457FE"/>
        </w:tc>
      </w:tr>
    </w:tbl>
    <w:p w:rsidR="005D2D37" w:rsidRDefault="005D2D37" w:rsidP="005D2D37"/>
    <w:p w:rsidR="005D2D37" w:rsidRDefault="005D2D37" w:rsidP="005D2D37">
      <w:pPr>
        <w:pStyle w:val="Heading5"/>
        <w:rPr>
          <w:rFonts w:ascii="Arial" w:hAnsi="Arial"/>
          <w:u w:val="none"/>
        </w:rPr>
      </w:pPr>
      <w:r>
        <w:rPr>
          <w:rFonts w:ascii="Arial" w:hAnsi="Arial"/>
          <w:u w:val="none"/>
        </w:rPr>
        <w:t>Local Government (Access to Information) Act 1985</w:t>
      </w:r>
    </w:p>
    <w:p w:rsidR="005D2D37" w:rsidRDefault="005D2D37" w:rsidP="005D2D37">
      <w:pPr>
        <w:pStyle w:val="Heading5"/>
        <w:rPr>
          <w:rFonts w:ascii="Arial" w:hAnsi="Arial"/>
          <w:u w:val="none"/>
        </w:rPr>
      </w:pPr>
      <w:r>
        <w:rPr>
          <w:rFonts w:ascii="Arial" w:hAnsi="Arial"/>
          <w:u w:val="none"/>
        </w:rPr>
        <w:t>List of Background Papers</w:t>
      </w:r>
    </w:p>
    <w:p w:rsidR="005D2D37" w:rsidRDefault="005D2D37" w:rsidP="005D2D37"/>
    <w:tbl>
      <w:tblPr>
        <w:tblW w:w="0" w:type="auto"/>
        <w:tblLayout w:type="fixed"/>
        <w:tblLook w:val="000C"/>
      </w:tblPr>
      <w:tblGrid>
        <w:gridCol w:w="3510"/>
        <w:gridCol w:w="2492"/>
        <w:gridCol w:w="3178"/>
      </w:tblGrid>
      <w:tr w:rsidR="005D2D37" w:rsidRPr="00770189" w:rsidTr="00E457FE">
        <w:tc>
          <w:tcPr>
            <w:tcW w:w="3510" w:type="dxa"/>
          </w:tcPr>
          <w:p w:rsidR="005D2D37" w:rsidRPr="00B54241" w:rsidRDefault="005D2D37" w:rsidP="00E457FE">
            <w:pPr>
              <w:pStyle w:val="Heading7"/>
              <w:rPr>
                <w:rFonts w:ascii="Arial" w:hAnsi="Arial"/>
                <w:u w:val="none"/>
              </w:rPr>
            </w:pPr>
            <w:r w:rsidRPr="00B54241">
              <w:rPr>
                <w:rFonts w:ascii="Arial" w:hAnsi="Arial"/>
                <w:u w:val="none"/>
              </w:rPr>
              <w:t>Paper</w:t>
            </w:r>
          </w:p>
        </w:tc>
        <w:tc>
          <w:tcPr>
            <w:tcW w:w="2492" w:type="dxa"/>
          </w:tcPr>
          <w:p w:rsidR="005D2D37" w:rsidRPr="00B54241" w:rsidRDefault="005D2D37" w:rsidP="00E457FE">
            <w:pPr>
              <w:pStyle w:val="Heading7"/>
              <w:rPr>
                <w:rFonts w:ascii="Arial" w:hAnsi="Arial"/>
                <w:u w:val="none"/>
              </w:rPr>
            </w:pPr>
            <w:r w:rsidRPr="00B54241">
              <w:rPr>
                <w:rFonts w:ascii="Arial" w:hAnsi="Arial"/>
                <w:u w:val="none"/>
              </w:rPr>
              <w:t>Date</w:t>
            </w:r>
          </w:p>
        </w:tc>
        <w:tc>
          <w:tcPr>
            <w:tcW w:w="3178" w:type="dxa"/>
          </w:tcPr>
          <w:p w:rsidR="005D2D37" w:rsidRPr="00B54241" w:rsidRDefault="005D2D37" w:rsidP="00E457FE">
            <w:pPr>
              <w:pStyle w:val="Heading7"/>
              <w:rPr>
                <w:rFonts w:ascii="Arial" w:hAnsi="Arial"/>
                <w:u w:val="none"/>
              </w:rPr>
            </w:pPr>
            <w:r w:rsidRPr="00B54241">
              <w:rPr>
                <w:rFonts w:ascii="Arial" w:hAnsi="Arial"/>
                <w:u w:val="none"/>
              </w:rPr>
              <w:t>Contact/Directorate/Tel</w:t>
            </w:r>
          </w:p>
        </w:tc>
      </w:tr>
      <w:tr w:rsidR="005D2D37" w:rsidTr="00E457FE">
        <w:tc>
          <w:tcPr>
            <w:tcW w:w="3510" w:type="dxa"/>
          </w:tcPr>
          <w:p w:rsidR="005D2D37" w:rsidRDefault="005D2D37" w:rsidP="00E457FE"/>
          <w:p w:rsidR="005D2D37" w:rsidRDefault="00770189" w:rsidP="00E457FE">
            <w:r>
              <w:t>Red Book – Section 3 – Summary of terms and conditions</w:t>
            </w:r>
          </w:p>
          <w:p w:rsidR="00A63948" w:rsidRDefault="00A63948" w:rsidP="00A63948">
            <w:r>
              <w:t>Red Book – Section 5 – Sick Leave and Sick Pay</w:t>
            </w:r>
          </w:p>
          <w:p w:rsidR="00A63948" w:rsidRDefault="00A63948" w:rsidP="00A63948">
            <w:r>
              <w:t>Red Book – Section 6 - Absence</w:t>
            </w:r>
          </w:p>
          <w:p w:rsidR="00A63948" w:rsidRDefault="00A63948" w:rsidP="00A63948">
            <w:r>
              <w:t>Red Book – Section 8 - Redundancy</w:t>
            </w:r>
          </w:p>
          <w:p w:rsidR="00A63948" w:rsidRDefault="00A63948" w:rsidP="00A63948">
            <w:r>
              <w:t>Red Book - Section 10 – Disciplinary &amp; Capability</w:t>
            </w:r>
          </w:p>
          <w:p w:rsidR="00A63948" w:rsidRDefault="00A63948" w:rsidP="00A63948">
            <w:r>
              <w:t>Red Book – Section 11 – Grievance</w:t>
            </w:r>
          </w:p>
          <w:p w:rsidR="00A63948" w:rsidRDefault="00A63948" w:rsidP="00E457FE"/>
        </w:tc>
        <w:tc>
          <w:tcPr>
            <w:tcW w:w="2492" w:type="dxa"/>
          </w:tcPr>
          <w:p w:rsidR="005D2D37" w:rsidRDefault="005D2D37" w:rsidP="00E457FE">
            <w:pPr>
              <w:pStyle w:val="Heading7"/>
              <w:rPr>
                <w:rFonts w:ascii="Arial" w:hAnsi="Arial"/>
                <w:u w:val="none"/>
              </w:rPr>
            </w:pPr>
          </w:p>
          <w:p w:rsidR="005D2D37" w:rsidRDefault="00DF7759" w:rsidP="00E457FE">
            <w:r>
              <w:t>July</w:t>
            </w:r>
            <w:r w:rsidR="00770189">
              <w:t xml:space="preserve"> 2008</w:t>
            </w:r>
          </w:p>
        </w:tc>
        <w:tc>
          <w:tcPr>
            <w:tcW w:w="3178" w:type="dxa"/>
          </w:tcPr>
          <w:p w:rsidR="005D2D37" w:rsidRDefault="005D2D37" w:rsidP="00E457FE"/>
          <w:p w:rsidR="005D2D37" w:rsidRDefault="00770189" w:rsidP="00E457FE">
            <w:r>
              <w:t>Elaine Fitchie (01257 516446)</w:t>
            </w:r>
          </w:p>
          <w:p w:rsidR="005D2D37" w:rsidRDefault="005D2D37" w:rsidP="00E457FE"/>
        </w:tc>
      </w:tr>
      <w:tr w:rsidR="005D2D37" w:rsidTr="00E457FE">
        <w:trPr>
          <w:cantSplit/>
        </w:trPr>
        <w:tc>
          <w:tcPr>
            <w:tcW w:w="9180" w:type="dxa"/>
            <w:gridSpan w:val="3"/>
          </w:tcPr>
          <w:p w:rsidR="005D2D37" w:rsidRDefault="005D2D37" w:rsidP="00E457FE"/>
          <w:p w:rsidR="005D2D37" w:rsidRDefault="005D2D37" w:rsidP="00E457FE">
            <w:r>
              <w:t>Reason for inclusion in Part II, if appropriate</w:t>
            </w:r>
          </w:p>
          <w:p w:rsidR="005D2D37" w:rsidRDefault="005D2D37" w:rsidP="00E457FE"/>
          <w:p w:rsidR="005D2D37" w:rsidRDefault="00DD38CD" w:rsidP="00E457FE">
            <w:r>
              <w:t>N/A</w:t>
            </w:r>
          </w:p>
          <w:p w:rsidR="005D2D37" w:rsidRDefault="005D2D37" w:rsidP="00E457FE"/>
          <w:p w:rsidR="00E457FE" w:rsidRDefault="00E457FE" w:rsidP="00E457FE"/>
        </w:tc>
      </w:tr>
    </w:tbl>
    <w:p w:rsidR="00E75840" w:rsidRDefault="00E75840"/>
    <w:sectPr w:rsidR="00E75840" w:rsidSect="00E457FE">
      <w:footerReference w:type="default" r:id="rId8"/>
      <w:footerReference w:type="first" r:id="rId9"/>
      <w:type w:val="continuous"/>
      <w:pgSz w:w="11907" w:h="16840" w:code="9"/>
      <w:pgMar w:top="993" w:right="1440" w:bottom="1276" w:left="1440" w:header="720" w:footer="3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C9" w:rsidRDefault="00C479C9">
      <w:r>
        <w:separator/>
      </w:r>
    </w:p>
  </w:endnote>
  <w:endnote w:type="continuationSeparator" w:id="0">
    <w:p w:rsidR="00C479C9" w:rsidRDefault="00C47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C479C9">
      <w:tc>
        <w:tcPr>
          <w:tcW w:w="9243" w:type="dxa"/>
          <w:tcBorders>
            <w:top w:val="nil"/>
            <w:left w:val="nil"/>
            <w:bottom w:val="nil"/>
            <w:right w:val="nil"/>
          </w:tcBorders>
        </w:tcPr>
        <w:p w:rsidR="00C479C9" w:rsidRDefault="00C479C9">
          <w:pPr>
            <w:pStyle w:val="Footer"/>
            <w:tabs>
              <w:tab w:val="clear" w:pos="4153"/>
            </w:tabs>
            <w:ind w:right="-45"/>
            <w:jc w:val="right"/>
          </w:pPr>
        </w:p>
      </w:tc>
    </w:tr>
  </w:tbl>
  <w:p w:rsidR="00C479C9" w:rsidRDefault="00C479C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C479C9" w:rsidTr="00912981">
      <w:tc>
        <w:tcPr>
          <w:tcW w:w="9243" w:type="dxa"/>
          <w:tcBorders>
            <w:top w:val="nil"/>
            <w:left w:val="nil"/>
            <w:bottom w:val="nil"/>
            <w:right w:val="nil"/>
          </w:tcBorders>
        </w:tcPr>
        <w:p w:rsidR="00C479C9" w:rsidRDefault="00C479C9" w:rsidP="00912981">
          <w:pPr>
            <w:pStyle w:val="Footer"/>
            <w:jc w:val="right"/>
          </w:pPr>
          <w:r>
            <w:rPr>
              <w:noProof/>
            </w:rPr>
            <w:drawing>
              <wp:inline distT="0" distB="0" distL="0" distR="0">
                <wp:extent cx="1257300" cy="62230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2300"/>
                        </a:xfrm>
                        <a:prstGeom prst="rect">
                          <a:avLst/>
                        </a:prstGeom>
                        <a:noFill/>
                        <a:ln w="9525">
                          <a:noFill/>
                          <a:miter lim="800000"/>
                          <a:headEnd/>
                          <a:tailEnd/>
                        </a:ln>
                      </pic:spPr>
                    </pic:pic>
                  </a:graphicData>
                </a:graphic>
              </wp:inline>
            </w:drawing>
          </w:r>
        </w:p>
      </w:tc>
    </w:tr>
  </w:tbl>
  <w:p w:rsidR="00C479C9" w:rsidRDefault="00C47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C9" w:rsidRDefault="00C479C9">
      <w:r>
        <w:separator/>
      </w:r>
    </w:p>
  </w:footnote>
  <w:footnote w:type="continuationSeparator" w:id="0">
    <w:p w:rsidR="00C479C9" w:rsidRDefault="00C47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0805B9"/>
    <w:multiLevelType w:val="hybridMultilevel"/>
    <w:tmpl w:val="678E2EE8"/>
    <w:lvl w:ilvl="0" w:tplc="08090001">
      <w:start w:val="1"/>
      <w:numFmt w:val="bullet"/>
      <w:lvlText w:val=""/>
      <w:lvlJc w:val="left"/>
      <w:pPr>
        <w:ind w:left="720" w:hanging="360"/>
      </w:pPr>
      <w:rPr>
        <w:rFonts w:ascii="Symbol" w:hAnsi="Symbol" w:hint="default"/>
      </w:rPr>
    </w:lvl>
    <w:lvl w:ilvl="1" w:tplc="CAC0E5EC">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E4F3A"/>
    <w:multiLevelType w:val="hybridMultilevel"/>
    <w:tmpl w:val="50B81AA6"/>
    <w:lvl w:ilvl="0" w:tplc="D4102886">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48FC321D"/>
    <w:multiLevelType w:val="hybridMultilevel"/>
    <w:tmpl w:val="737CC2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F73C52"/>
    <w:multiLevelType w:val="hybridMultilevel"/>
    <w:tmpl w:val="21C4A9A6"/>
    <w:lvl w:ilvl="0" w:tplc="FFFFFFFF">
      <w:start w:val="1"/>
      <w:numFmt w:val="bullet"/>
      <w:lvlText w:val=""/>
      <w:lvlJc w:val="left"/>
      <w:pPr>
        <w:tabs>
          <w:tab w:val="num" w:pos="720"/>
        </w:tabs>
        <w:ind w:left="720" w:hanging="360"/>
      </w:pPr>
      <w:rPr>
        <w:rFonts w:ascii="Symbol" w:hAnsi="Symbol" w:hint="default"/>
      </w:rPr>
    </w:lvl>
    <w:lvl w:ilvl="1" w:tplc="58726AC6">
      <w:start w:val="1"/>
      <w:numFmt w:val="bullet"/>
      <w:lvlText w:val=""/>
      <w:lvlJc w:val="left"/>
      <w:pPr>
        <w:tabs>
          <w:tab w:val="num" w:pos="1647"/>
        </w:tabs>
        <w:ind w:left="1647" w:hanging="56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9D63E0B"/>
    <w:multiLevelType w:val="hybridMultilevel"/>
    <w:tmpl w:val="D4EA8F9C"/>
    <w:lvl w:ilvl="0" w:tplc="58726AC6">
      <w:start w:val="1"/>
      <w:numFmt w:val="bullet"/>
      <w:lvlText w:val=""/>
      <w:lvlJc w:val="left"/>
      <w:pPr>
        <w:tabs>
          <w:tab w:val="num" w:pos="627"/>
        </w:tabs>
        <w:ind w:left="627" w:hanging="567"/>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68316FBF"/>
    <w:multiLevelType w:val="hybridMultilevel"/>
    <w:tmpl w:val="AA7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rsids>
    <w:rsidRoot w:val="003E03F1"/>
    <w:rsid w:val="00004FB8"/>
    <w:rsid w:val="000153CC"/>
    <w:rsid w:val="00017785"/>
    <w:rsid w:val="0004769E"/>
    <w:rsid w:val="00075CCA"/>
    <w:rsid w:val="00076B3F"/>
    <w:rsid w:val="000B29DF"/>
    <w:rsid w:val="000C2FAD"/>
    <w:rsid w:val="00105DCE"/>
    <w:rsid w:val="001214D6"/>
    <w:rsid w:val="00155FE7"/>
    <w:rsid w:val="00156C3A"/>
    <w:rsid w:val="001719F4"/>
    <w:rsid w:val="00182A0B"/>
    <w:rsid w:val="001B7C2C"/>
    <w:rsid w:val="001C01F3"/>
    <w:rsid w:val="001C55DA"/>
    <w:rsid w:val="001E76C4"/>
    <w:rsid w:val="0025354C"/>
    <w:rsid w:val="00272969"/>
    <w:rsid w:val="00280C78"/>
    <w:rsid w:val="00282E08"/>
    <w:rsid w:val="002C4D15"/>
    <w:rsid w:val="002C7C1E"/>
    <w:rsid w:val="002D1303"/>
    <w:rsid w:val="002D19A0"/>
    <w:rsid w:val="003355F9"/>
    <w:rsid w:val="00352354"/>
    <w:rsid w:val="003523B6"/>
    <w:rsid w:val="00361997"/>
    <w:rsid w:val="00363D9A"/>
    <w:rsid w:val="003940B3"/>
    <w:rsid w:val="003A5BC7"/>
    <w:rsid w:val="003B2AB1"/>
    <w:rsid w:val="003D3D5C"/>
    <w:rsid w:val="003E03F1"/>
    <w:rsid w:val="00443FF7"/>
    <w:rsid w:val="00462096"/>
    <w:rsid w:val="0046659E"/>
    <w:rsid w:val="00487497"/>
    <w:rsid w:val="005048F5"/>
    <w:rsid w:val="005603A8"/>
    <w:rsid w:val="00561275"/>
    <w:rsid w:val="005D2D37"/>
    <w:rsid w:val="005D6694"/>
    <w:rsid w:val="005F73BF"/>
    <w:rsid w:val="00604EFC"/>
    <w:rsid w:val="006370E3"/>
    <w:rsid w:val="00642A0A"/>
    <w:rsid w:val="006501AC"/>
    <w:rsid w:val="00661DAD"/>
    <w:rsid w:val="00671255"/>
    <w:rsid w:val="00707D99"/>
    <w:rsid w:val="00770189"/>
    <w:rsid w:val="007708A6"/>
    <w:rsid w:val="00786467"/>
    <w:rsid w:val="007E28F8"/>
    <w:rsid w:val="007F3244"/>
    <w:rsid w:val="00821847"/>
    <w:rsid w:val="008335C5"/>
    <w:rsid w:val="0085051C"/>
    <w:rsid w:val="00860280"/>
    <w:rsid w:val="00881C5A"/>
    <w:rsid w:val="00886677"/>
    <w:rsid w:val="0089356C"/>
    <w:rsid w:val="008D3392"/>
    <w:rsid w:val="008D5380"/>
    <w:rsid w:val="00901F01"/>
    <w:rsid w:val="00912981"/>
    <w:rsid w:val="00922325"/>
    <w:rsid w:val="0092574A"/>
    <w:rsid w:val="00994981"/>
    <w:rsid w:val="009A2D0D"/>
    <w:rsid w:val="009C4961"/>
    <w:rsid w:val="009D7DDB"/>
    <w:rsid w:val="009E4667"/>
    <w:rsid w:val="00A219A4"/>
    <w:rsid w:val="00A241CD"/>
    <w:rsid w:val="00A55079"/>
    <w:rsid w:val="00A603A2"/>
    <w:rsid w:val="00A63948"/>
    <w:rsid w:val="00A855CB"/>
    <w:rsid w:val="00A923A0"/>
    <w:rsid w:val="00AA01B9"/>
    <w:rsid w:val="00AA4CA3"/>
    <w:rsid w:val="00AC242E"/>
    <w:rsid w:val="00AD3166"/>
    <w:rsid w:val="00AE064A"/>
    <w:rsid w:val="00B1587A"/>
    <w:rsid w:val="00B23861"/>
    <w:rsid w:val="00B45E0E"/>
    <w:rsid w:val="00B54241"/>
    <w:rsid w:val="00B56D25"/>
    <w:rsid w:val="00BA28AD"/>
    <w:rsid w:val="00BA6331"/>
    <w:rsid w:val="00BD7A39"/>
    <w:rsid w:val="00BE421D"/>
    <w:rsid w:val="00C11479"/>
    <w:rsid w:val="00C34A9E"/>
    <w:rsid w:val="00C479C9"/>
    <w:rsid w:val="00C67C61"/>
    <w:rsid w:val="00CB55C2"/>
    <w:rsid w:val="00D05BEB"/>
    <w:rsid w:val="00D10245"/>
    <w:rsid w:val="00D50AAB"/>
    <w:rsid w:val="00D63893"/>
    <w:rsid w:val="00D76BC4"/>
    <w:rsid w:val="00D81FB0"/>
    <w:rsid w:val="00D91B7B"/>
    <w:rsid w:val="00D94A4B"/>
    <w:rsid w:val="00D96998"/>
    <w:rsid w:val="00DA2472"/>
    <w:rsid w:val="00DA4B19"/>
    <w:rsid w:val="00DD38CD"/>
    <w:rsid w:val="00DF7759"/>
    <w:rsid w:val="00E011E8"/>
    <w:rsid w:val="00E243E4"/>
    <w:rsid w:val="00E41185"/>
    <w:rsid w:val="00E45136"/>
    <w:rsid w:val="00E457FE"/>
    <w:rsid w:val="00E54ECA"/>
    <w:rsid w:val="00E75840"/>
    <w:rsid w:val="00E86973"/>
    <w:rsid w:val="00EB41A9"/>
    <w:rsid w:val="00EB4CED"/>
    <w:rsid w:val="00EC7AEF"/>
    <w:rsid w:val="00F15BE3"/>
    <w:rsid w:val="00F16EE8"/>
    <w:rsid w:val="00F22F4A"/>
    <w:rsid w:val="00F957DA"/>
    <w:rsid w:val="00FB268C"/>
    <w:rsid w:val="00FC47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59E"/>
    <w:rPr>
      <w:rFonts w:ascii="Arial" w:hAnsi="Arial"/>
      <w:sz w:val="24"/>
    </w:rPr>
  </w:style>
  <w:style w:type="paragraph" w:styleId="Heading1">
    <w:name w:val="heading 1"/>
    <w:basedOn w:val="Normal"/>
    <w:next w:val="Normal"/>
    <w:qFormat/>
    <w:rsid w:val="0046659E"/>
    <w:pPr>
      <w:keepNext/>
      <w:outlineLvl w:val="0"/>
    </w:pPr>
    <w:rPr>
      <w:rFonts w:ascii="Univers" w:hAnsi="Univers"/>
      <w:b/>
      <w:kern w:val="28"/>
    </w:rPr>
  </w:style>
  <w:style w:type="paragraph" w:styleId="Heading5">
    <w:name w:val="heading 5"/>
    <w:basedOn w:val="Normal"/>
    <w:next w:val="Normal"/>
    <w:qFormat/>
    <w:rsid w:val="0046659E"/>
    <w:pPr>
      <w:keepNext/>
      <w:outlineLvl w:val="4"/>
    </w:pPr>
    <w:rPr>
      <w:rFonts w:ascii="Univers" w:hAnsi="Univers"/>
      <w:b/>
      <w:u w:val="single"/>
    </w:rPr>
  </w:style>
  <w:style w:type="paragraph" w:styleId="Heading6">
    <w:name w:val="heading 6"/>
    <w:basedOn w:val="Normal"/>
    <w:next w:val="Normal"/>
    <w:qFormat/>
    <w:rsid w:val="0046659E"/>
    <w:pPr>
      <w:keepNext/>
      <w:outlineLvl w:val="5"/>
    </w:pPr>
    <w:rPr>
      <w:rFonts w:ascii="Univers" w:hAnsi="Univers"/>
      <w:b/>
    </w:rPr>
  </w:style>
  <w:style w:type="paragraph" w:styleId="Heading7">
    <w:name w:val="heading 7"/>
    <w:basedOn w:val="Normal"/>
    <w:next w:val="Normal"/>
    <w:qFormat/>
    <w:rsid w:val="0046659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59E"/>
  </w:style>
  <w:style w:type="paragraph" w:styleId="BodyText2">
    <w:name w:val="Body Text 2"/>
    <w:basedOn w:val="Normal"/>
    <w:rsid w:val="0046659E"/>
    <w:rPr>
      <w:rFonts w:ascii="Univers" w:hAnsi="Univers"/>
      <w:b/>
      <w:u w:val="single"/>
    </w:rPr>
  </w:style>
  <w:style w:type="paragraph" w:styleId="BodyTextIndent">
    <w:name w:val="Body Text Indent"/>
    <w:basedOn w:val="Normal"/>
    <w:rsid w:val="0046659E"/>
    <w:pPr>
      <w:ind w:left="720" w:firstLine="720"/>
    </w:pPr>
    <w:rPr>
      <w:rFonts w:ascii="Times New Roman" w:hAnsi="Times New Roman"/>
    </w:rPr>
  </w:style>
  <w:style w:type="paragraph" w:styleId="BodyText">
    <w:name w:val="Body Text"/>
    <w:basedOn w:val="Normal"/>
    <w:rsid w:val="0046659E"/>
  </w:style>
  <w:style w:type="paragraph" w:styleId="Footer">
    <w:name w:val="footer"/>
    <w:basedOn w:val="Normal"/>
    <w:rsid w:val="0046659E"/>
    <w:pPr>
      <w:tabs>
        <w:tab w:val="center" w:pos="4153"/>
        <w:tab w:val="right" w:pos="8306"/>
      </w:tabs>
    </w:pPr>
  </w:style>
  <w:style w:type="character" w:styleId="PageNumber">
    <w:name w:val="page number"/>
    <w:basedOn w:val="DefaultParagraphFont"/>
    <w:rsid w:val="0046659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5DC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hailstone@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1</TotalTime>
  <Pages>3</Pages>
  <Words>603</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4071</CharactersWithSpaces>
  <SharedDoc>false</SharedDoc>
  <HLinks>
    <vt:vector size="6" baseType="variant">
      <vt:variant>
        <vt:i4>3932246</vt:i4>
      </vt:variant>
      <vt:variant>
        <vt:i4>0</vt:i4>
      </vt:variant>
      <vt:variant>
        <vt:i4>0</vt:i4>
      </vt:variant>
      <vt:variant>
        <vt:i4>5</vt:i4>
      </vt:variant>
      <vt:variant>
        <vt:lpwstr>mailto:Peter.Garrod@ed.lancscc.gov.uk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User</cp:lastModifiedBy>
  <cp:revision>3</cp:revision>
  <cp:lastPrinted>2011-12-22T09:11:00Z</cp:lastPrinted>
  <dcterms:created xsi:type="dcterms:W3CDTF">2012-01-03T10:14:00Z</dcterms:created>
  <dcterms:modified xsi:type="dcterms:W3CDTF">2012-01-09T14:05:00Z</dcterms:modified>
</cp:coreProperties>
</file>